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96E" w:rsidRPr="0039099A" w:rsidRDefault="007C3D12">
      <w:pPr>
        <w:rPr>
          <w:rFonts w:ascii="Times New Roman" w:hAnsi="Times New Roman" w:cs="Times New Roman"/>
          <w:sz w:val="20"/>
          <w:szCs w:val="20"/>
        </w:rPr>
      </w:pPr>
      <w:r w:rsidRPr="0039099A">
        <w:rPr>
          <w:rFonts w:ascii="Times New Roman" w:hAnsi="Times New Roman" w:cs="Times New Roman"/>
          <w:sz w:val="20"/>
          <w:szCs w:val="20"/>
        </w:rPr>
        <w:t xml:space="preserve">Presentamos el estudio realizado por </w:t>
      </w:r>
      <w:proofErr w:type="spellStart"/>
      <w:r w:rsidRPr="0039099A">
        <w:rPr>
          <w:rFonts w:ascii="Times New Roman" w:hAnsi="Times New Roman" w:cs="Times New Roman"/>
          <w:sz w:val="20"/>
          <w:szCs w:val="20"/>
        </w:rPr>
        <w:t>Nadine</w:t>
      </w:r>
      <w:proofErr w:type="spellEnd"/>
      <w:r w:rsidRPr="0039099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9099A">
        <w:rPr>
          <w:rFonts w:ascii="Times New Roman" w:hAnsi="Times New Roman" w:cs="Times New Roman"/>
          <w:sz w:val="20"/>
          <w:szCs w:val="20"/>
        </w:rPr>
        <w:t>Shehab</w:t>
      </w:r>
      <w:proofErr w:type="spellEnd"/>
      <w:r w:rsidRPr="0039099A">
        <w:rPr>
          <w:rFonts w:ascii="Times New Roman" w:hAnsi="Times New Roman" w:cs="Times New Roman"/>
          <w:sz w:val="20"/>
          <w:szCs w:val="20"/>
        </w:rPr>
        <w:t xml:space="preserve"> y colaboradores en el que cuantifican</w:t>
      </w:r>
      <w:r w:rsidR="00B94435">
        <w:rPr>
          <w:rFonts w:ascii="Times New Roman" w:hAnsi="Times New Roman" w:cs="Times New Roman"/>
          <w:sz w:val="20"/>
          <w:szCs w:val="20"/>
        </w:rPr>
        <w:t xml:space="preserve"> y catalogan </w:t>
      </w:r>
      <w:r w:rsidRPr="0039099A">
        <w:rPr>
          <w:rFonts w:ascii="Times New Roman" w:hAnsi="Times New Roman" w:cs="Times New Roman"/>
          <w:sz w:val="20"/>
          <w:szCs w:val="20"/>
        </w:rPr>
        <w:t xml:space="preserve"> las visitas a los Servicios de Urgencias de los diferentes hospitales encuestados a causa de efectos adversos</w:t>
      </w:r>
      <w:r w:rsidR="00B94435">
        <w:rPr>
          <w:rFonts w:ascii="Times New Roman" w:hAnsi="Times New Roman" w:cs="Times New Roman"/>
          <w:sz w:val="20"/>
          <w:szCs w:val="20"/>
        </w:rPr>
        <w:t xml:space="preserve"> por medicamentos</w:t>
      </w:r>
      <w:r w:rsidRPr="0039099A">
        <w:rPr>
          <w:rFonts w:ascii="Times New Roman" w:hAnsi="Times New Roman" w:cs="Times New Roman"/>
          <w:sz w:val="20"/>
          <w:szCs w:val="20"/>
        </w:rPr>
        <w:t>, durante los años 2013 y 2014.</w:t>
      </w:r>
    </w:p>
    <w:p w:rsidR="00956767" w:rsidRPr="0039099A" w:rsidRDefault="00956767">
      <w:pPr>
        <w:rPr>
          <w:rFonts w:ascii="Times New Roman" w:hAnsi="Times New Roman" w:cs="Times New Roman"/>
          <w:sz w:val="20"/>
          <w:szCs w:val="20"/>
        </w:rPr>
      </w:pPr>
      <w:r w:rsidRPr="0039099A">
        <w:rPr>
          <w:rFonts w:ascii="Times New Roman" w:hAnsi="Times New Roman" w:cs="Times New Roman"/>
          <w:sz w:val="20"/>
          <w:szCs w:val="20"/>
        </w:rPr>
        <w:t>Los pacientes seleccionados, fueron aquellos que manifestaban tomar más de dos medicamentos así como aquellos que tenían medicación concomitante en su historial médico.</w:t>
      </w:r>
    </w:p>
    <w:p w:rsidR="00956767" w:rsidRPr="0039099A" w:rsidRDefault="00B9443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Entre</w:t>
      </w:r>
      <w:r w:rsidR="00956767" w:rsidRPr="0039099A">
        <w:rPr>
          <w:rFonts w:ascii="Times New Roman" w:hAnsi="Times New Roman" w:cs="Times New Roman"/>
          <w:sz w:val="20"/>
          <w:szCs w:val="20"/>
        </w:rPr>
        <w:t xml:space="preserve"> los efectos adversos seleccionados, encontramos: reacciones alérgicas, sobredosificación, efectos secundarios </w:t>
      </w:r>
      <w:r>
        <w:rPr>
          <w:rFonts w:ascii="Times New Roman" w:hAnsi="Times New Roman" w:cs="Times New Roman"/>
          <w:sz w:val="20"/>
          <w:szCs w:val="20"/>
        </w:rPr>
        <w:t xml:space="preserve">a la administración </w:t>
      </w:r>
      <w:r w:rsidR="00956767" w:rsidRPr="0039099A">
        <w:rPr>
          <w:rFonts w:ascii="Times New Roman" w:hAnsi="Times New Roman" w:cs="Times New Roman"/>
          <w:sz w:val="20"/>
          <w:szCs w:val="20"/>
        </w:rPr>
        <w:t>(tales como flebitis</w:t>
      </w:r>
      <w:r>
        <w:rPr>
          <w:rFonts w:ascii="Times New Roman" w:hAnsi="Times New Roman" w:cs="Times New Roman"/>
          <w:sz w:val="20"/>
          <w:szCs w:val="20"/>
        </w:rPr>
        <w:t xml:space="preserve">, hinchazones en el sitio de administración, </w:t>
      </w:r>
      <w:proofErr w:type="spellStart"/>
      <w:r>
        <w:rPr>
          <w:rFonts w:ascii="Times New Roman" w:hAnsi="Times New Roman" w:cs="Times New Roman"/>
          <w:sz w:val="20"/>
          <w:szCs w:val="20"/>
        </w:rPr>
        <w:t>etc</w:t>
      </w:r>
      <w:proofErr w:type="spellEnd"/>
      <w:r w:rsidR="00956767" w:rsidRPr="0039099A">
        <w:rPr>
          <w:rFonts w:ascii="Times New Roman" w:hAnsi="Times New Roman" w:cs="Times New Roman"/>
          <w:sz w:val="20"/>
          <w:szCs w:val="20"/>
        </w:rPr>
        <w:t xml:space="preserve">), ingestión accidental a cargo de niños o reacciones a vacunas. Quedaron excluidos: </w:t>
      </w:r>
      <w:r>
        <w:rPr>
          <w:rFonts w:ascii="Times New Roman" w:hAnsi="Times New Roman" w:cs="Times New Roman"/>
          <w:sz w:val="20"/>
          <w:szCs w:val="20"/>
        </w:rPr>
        <w:t>fracasos</w:t>
      </w:r>
      <w:r w:rsidR="00956767" w:rsidRPr="0039099A">
        <w:rPr>
          <w:rFonts w:ascii="Times New Roman" w:hAnsi="Times New Roman" w:cs="Times New Roman"/>
          <w:sz w:val="20"/>
          <w:szCs w:val="20"/>
        </w:rPr>
        <w:t xml:space="preserve"> terapéuticos, intentos de autolisis, exposiciones laborales, drogas de abuso y reacciones secundarias generadas por los tratamientos administrados en los propios servicios de urgencias.</w:t>
      </w:r>
    </w:p>
    <w:p w:rsidR="00956767" w:rsidRPr="0039099A" w:rsidRDefault="00956767">
      <w:pPr>
        <w:rPr>
          <w:rFonts w:ascii="Times New Roman" w:hAnsi="Times New Roman" w:cs="Times New Roman"/>
          <w:sz w:val="20"/>
          <w:szCs w:val="20"/>
        </w:rPr>
      </w:pPr>
      <w:r w:rsidRPr="0039099A">
        <w:rPr>
          <w:rFonts w:ascii="Times New Roman" w:hAnsi="Times New Roman" w:cs="Times New Roman"/>
          <w:sz w:val="20"/>
          <w:szCs w:val="20"/>
        </w:rPr>
        <w:t xml:space="preserve">Se usaron los criterios </w:t>
      </w:r>
      <w:proofErr w:type="spellStart"/>
      <w:r w:rsidRPr="0039099A">
        <w:rPr>
          <w:rFonts w:ascii="Times New Roman" w:hAnsi="Times New Roman" w:cs="Times New Roman"/>
          <w:sz w:val="20"/>
          <w:szCs w:val="20"/>
        </w:rPr>
        <w:t>Beers</w:t>
      </w:r>
      <w:proofErr w:type="spellEnd"/>
      <w:r w:rsidRPr="0039099A">
        <w:rPr>
          <w:rFonts w:ascii="Times New Roman" w:hAnsi="Times New Roman" w:cs="Times New Roman"/>
          <w:sz w:val="20"/>
          <w:szCs w:val="20"/>
        </w:rPr>
        <w:t xml:space="preserve"> 2015 para determinar los potenciales medicamentos erróneos en población adulta.</w:t>
      </w:r>
    </w:p>
    <w:p w:rsidR="0039099A" w:rsidRPr="0039099A" w:rsidRDefault="007C3D12">
      <w:pPr>
        <w:rPr>
          <w:rFonts w:ascii="Times New Roman" w:hAnsi="Times New Roman" w:cs="Times New Roman"/>
          <w:sz w:val="20"/>
          <w:szCs w:val="20"/>
        </w:rPr>
      </w:pPr>
      <w:r w:rsidRPr="0039099A">
        <w:rPr>
          <w:rFonts w:ascii="Times New Roman" w:hAnsi="Times New Roman" w:cs="Times New Roman"/>
          <w:sz w:val="20"/>
          <w:szCs w:val="20"/>
        </w:rPr>
        <w:t>Dentro de los pacientes que más EAM han sufrido, encontramos un predominio del sexo femenino</w:t>
      </w:r>
      <w:r w:rsidR="0039099A">
        <w:rPr>
          <w:rFonts w:ascii="Times New Roman" w:hAnsi="Times New Roman" w:cs="Times New Roman"/>
          <w:sz w:val="20"/>
          <w:szCs w:val="20"/>
        </w:rPr>
        <w:t>, edad superior a 50 años. Por último destacar que el grupo poblacional con mayor porcentaje de ingresos es el de población mayor de 80 años. El EAM más presentado es la sobredosificación. (Tabla 1)</w:t>
      </w:r>
    </w:p>
    <w:p w:rsidR="00956767" w:rsidRDefault="00956767">
      <w:r>
        <w:rPr>
          <w:noProof/>
          <w:lang w:eastAsia="es-ES"/>
        </w:rPr>
        <w:drawing>
          <wp:inline distT="0" distB="0" distL="0" distR="0">
            <wp:extent cx="2019025" cy="1931213"/>
            <wp:effectExtent l="19050" t="0" r="27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1928" cy="1933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099A" w:rsidRPr="00B94435" w:rsidRDefault="00B94435">
      <w:pPr>
        <w:rPr>
          <w:rFonts w:ascii="Times New Roman" w:hAnsi="Times New Roman" w:cs="Times New Roman"/>
          <w:sz w:val="20"/>
        </w:rPr>
      </w:pPr>
      <w:r w:rsidRPr="00B94435">
        <w:rPr>
          <w:rFonts w:ascii="Times New Roman" w:hAnsi="Times New Roman" w:cs="Times New Roman"/>
          <w:sz w:val="20"/>
        </w:rPr>
        <w:t>En el grupo de</w:t>
      </w:r>
      <w:r w:rsidR="0039099A" w:rsidRPr="00B94435">
        <w:rPr>
          <w:rFonts w:ascii="Times New Roman" w:hAnsi="Times New Roman" w:cs="Times New Roman"/>
          <w:sz w:val="20"/>
        </w:rPr>
        <w:t xml:space="preserve"> fármacos con más tasa de EAM, como era de esperar, encontramos los anticoagulantes orales (clásicos y nuevos), antidiabéticos, analgésicos opiáceos y antibióticos (diferenciando por grupos de edad) (Tablas 2 y 3) </w:t>
      </w:r>
    </w:p>
    <w:p w:rsidR="0039099A" w:rsidRDefault="00B94435">
      <w:r>
        <w:rPr>
          <w:noProof/>
          <w:lang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277495</wp:posOffset>
            </wp:positionH>
            <wp:positionV relativeFrom="paragraph">
              <wp:posOffset>36830</wp:posOffset>
            </wp:positionV>
            <wp:extent cx="1247140" cy="2296795"/>
            <wp:effectExtent l="1905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140" cy="2296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1776730</wp:posOffset>
            </wp:positionH>
            <wp:positionV relativeFrom="paragraph">
              <wp:posOffset>36830</wp:posOffset>
            </wp:positionV>
            <wp:extent cx="1297305" cy="2340610"/>
            <wp:effectExtent l="19050" t="0" r="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305" cy="2340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4D34">
        <w:rPr>
          <w:noProof/>
          <w:lang w:eastAsia="es-E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3357295</wp:posOffset>
            </wp:positionH>
            <wp:positionV relativeFrom="paragraph">
              <wp:posOffset>37440</wp:posOffset>
            </wp:positionV>
            <wp:extent cx="1250620" cy="2311603"/>
            <wp:effectExtent l="19050" t="0" r="6680" b="0"/>
            <wp:wrapNone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620" cy="23116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6767" w:rsidRDefault="00956767"/>
    <w:p w:rsidR="00956767" w:rsidRDefault="00956767"/>
    <w:p w:rsidR="00956767" w:rsidRDefault="00956767"/>
    <w:p w:rsidR="00956767" w:rsidRDefault="00956767"/>
    <w:p w:rsidR="00956767" w:rsidRDefault="00956767"/>
    <w:p w:rsidR="00A94D34" w:rsidRDefault="00A94D34"/>
    <w:p w:rsidR="00A94D34" w:rsidRDefault="00A94D34"/>
    <w:p w:rsidR="00A94D34" w:rsidRDefault="00A94D34"/>
    <w:p w:rsidR="00A94D34" w:rsidRPr="009A2EE5" w:rsidRDefault="009A2EE5">
      <w:pPr>
        <w:rPr>
          <w:rFonts w:ascii="Times New Roman" w:hAnsi="Times New Roman" w:cs="Times New Roman"/>
          <w:sz w:val="20"/>
        </w:rPr>
      </w:pPr>
      <w:r w:rsidRPr="009A2EE5">
        <w:rPr>
          <w:rFonts w:ascii="Times New Roman" w:hAnsi="Times New Roman" w:cs="Times New Roman"/>
          <w:sz w:val="20"/>
        </w:rPr>
        <w:t>L</w:t>
      </w:r>
      <w:r w:rsidR="00B94435" w:rsidRPr="009A2EE5">
        <w:rPr>
          <w:rFonts w:ascii="Times New Roman" w:hAnsi="Times New Roman" w:cs="Times New Roman"/>
          <w:sz w:val="20"/>
        </w:rPr>
        <w:t>o</w:t>
      </w:r>
      <w:r w:rsidRPr="009A2EE5">
        <w:rPr>
          <w:rFonts w:ascii="Times New Roman" w:hAnsi="Times New Roman" w:cs="Times New Roman"/>
          <w:sz w:val="20"/>
        </w:rPr>
        <w:t>s EAM más frecuentes</w:t>
      </w:r>
      <w:r w:rsidR="00A94D34" w:rsidRPr="009A2EE5">
        <w:rPr>
          <w:rFonts w:ascii="Times New Roman" w:hAnsi="Times New Roman" w:cs="Times New Roman"/>
          <w:sz w:val="20"/>
        </w:rPr>
        <w:t xml:space="preserve"> encontramos</w:t>
      </w:r>
      <w:r w:rsidRPr="009A2EE5">
        <w:rPr>
          <w:rFonts w:ascii="Times New Roman" w:hAnsi="Times New Roman" w:cs="Times New Roman"/>
          <w:sz w:val="20"/>
        </w:rPr>
        <w:t xml:space="preserve"> fueron: h</w:t>
      </w:r>
      <w:r w:rsidR="00A94D34" w:rsidRPr="009A2EE5">
        <w:rPr>
          <w:rFonts w:ascii="Times New Roman" w:hAnsi="Times New Roman" w:cs="Times New Roman"/>
          <w:sz w:val="20"/>
        </w:rPr>
        <w:t>emorragias gastrointestinales y cutáneas, reacciones alérgicas a antibióticos (medias y graves), hipoglucemias por antidiabéticos (predominando las graves) y los efectos secundarios a nivel neurológico a causa de los analgésicos opiáceos (Tabla 5)</w:t>
      </w:r>
    </w:p>
    <w:p w:rsidR="00A94D34" w:rsidRDefault="00A94D34">
      <w:r>
        <w:rPr>
          <w:noProof/>
          <w:lang w:eastAsia="es-ES"/>
        </w:rPr>
        <w:lastRenderedPageBreak/>
        <w:drawing>
          <wp:inline distT="0" distB="0" distL="0" distR="0">
            <wp:extent cx="1941423" cy="3095451"/>
            <wp:effectExtent l="19050" t="0" r="1677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1465" cy="3095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D34" w:rsidRDefault="00A94D34" w:rsidP="00A94D34">
      <w:pPr>
        <w:rPr>
          <w:rFonts w:ascii="Times New Roman" w:hAnsi="Times New Roman" w:cs="Times New Roman"/>
          <w:sz w:val="20"/>
          <w:szCs w:val="20"/>
        </w:rPr>
      </w:pPr>
      <w:r w:rsidRPr="0039099A">
        <w:rPr>
          <w:rFonts w:ascii="Times New Roman" w:hAnsi="Times New Roman" w:cs="Times New Roman"/>
          <w:sz w:val="20"/>
          <w:szCs w:val="20"/>
        </w:rPr>
        <w:t xml:space="preserve">Según los datos recopilados en la Encuesta Nacional de Vigilancia, durante los años 2013-14, 4 de cada 1000 visitas a Urgencias son a causa de efectos adversos a medicamentos (EAM), cabe destacar que han sido datos retrospectivos, además de que sólo 10,5% de los EAM fueron notificados, por lo que </w:t>
      </w:r>
      <w:r>
        <w:rPr>
          <w:rFonts w:ascii="Times New Roman" w:hAnsi="Times New Roman" w:cs="Times New Roman"/>
          <w:sz w:val="20"/>
          <w:szCs w:val="20"/>
        </w:rPr>
        <w:t xml:space="preserve">sería lógico esperar que el dato </w:t>
      </w:r>
      <w:r w:rsidRPr="0039099A">
        <w:rPr>
          <w:rFonts w:ascii="Times New Roman" w:hAnsi="Times New Roman" w:cs="Times New Roman"/>
          <w:sz w:val="20"/>
          <w:szCs w:val="20"/>
        </w:rPr>
        <w:t>muestre unos valores menores a los reales.</w:t>
      </w:r>
      <w:r>
        <w:rPr>
          <w:rFonts w:ascii="Times New Roman" w:hAnsi="Times New Roman" w:cs="Times New Roman"/>
          <w:sz w:val="20"/>
          <w:szCs w:val="20"/>
        </w:rPr>
        <w:t xml:space="preserve"> Así mismo, los fármacos que más frecuentemente aparecen implicados en EAM son anticoagulantes, antibióticos, antidiabéticos y analgésicos opiáceos.</w:t>
      </w:r>
    </w:p>
    <w:p w:rsidR="00A94D34" w:rsidRPr="00A94D34" w:rsidRDefault="00A94D34" w:rsidP="00A94D34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A94D34">
        <w:rPr>
          <w:rFonts w:ascii="Times New Roman" w:hAnsi="Times New Roman" w:cs="Times New Roman"/>
          <w:sz w:val="20"/>
          <w:szCs w:val="20"/>
          <w:lang w:val="en-US"/>
        </w:rPr>
        <w:t>Bibliografía</w:t>
      </w:r>
      <w:proofErr w:type="spellEnd"/>
      <w:r w:rsidRPr="00A94D34">
        <w:rPr>
          <w:rFonts w:ascii="Times New Roman" w:hAnsi="Times New Roman" w:cs="Times New Roman"/>
          <w:sz w:val="20"/>
          <w:szCs w:val="20"/>
          <w:lang w:val="en-US"/>
        </w:rPr>
        <w:t>:</w:t>
      </w:r>
    </w:p>
    <w:p w:rsidR="00A94D34" w:rsidRPr="00A94D34" w:rsidRDefault="00A94D34" w:rsidP="00A94D34">
      <w:pPr>
        <w:rPr>
          <w:rFonts w:ascii="Times New Roman" w:hAnsi="Times New Roman" w:cs="Times New Roman"/>
          <w:sz w:val="16"/>
          <w:szCs w:val="20"/>
          <w:lang w:val="en-US"/>
        </w:rPr>
      </w:pPr>
      <w:r w:rsidRPr="00A94D34">
        <w:rPr>
          <w:rFonts w:ascii="Times New Roman" w:hAnsi="Times New Roman" w:cs="Times New Roman"/>
          <w:sz w:val="16"/>
          <w:szCs w:val="20"/>
          <w:lang w:val="en-US"/>
        </w:rPr>
        <w:t xml:space="preserve">Nadine </w:t>
      </w:r>
      <w:proofErr w:type="spellStart"/>
      <w:r w:rsidRPr="00A94D34">
        <w:rPr>
          <w:rFonts w:ascii="Times New Roman" w:hAnsi="Times New Roman" w:cs="Times New Roman"/>
          <w:sz w:val="16"/>
          <w:szCs w:val="20"/>
          <w:lang w:val="en-US"/>
        </w:rPr>
        <w:t>Shehab</w:t>
      </w:r>
      <w:proofErr w:type="spellEnd"/>
      <w:r w:rsidRPr="00A94D34">
        <w:rPr>
          <w:rFonts w:ascii="Times New Roman" w:hAnsi="Times New Roman" w:cs="Times New Roman"/>
          <w:sz w:val="16"/>
          <w:szCs w:val="20"/>
          <w:lang w:val="en-US"/>
        </w:rPr>
        <w:t xml:space="preserve">, </w:t>
      </w:r>
      <w:proofErr w:type="spellStart"/>
      <w:r w:rsidRPr="00A94D34">
        <w:rPr>
          <w:rFonts w:ascii="Times New Roman" w:hAnsi="Times New Roman" w:cs="Times New Roman"/>
          <w:sz w:val="16"/>
          <w:szCs w:val="20"/>
          <w:lang w:val="en-US"/>
        </w:rPr>
        <w:t>PharmD</w:t>
      </w:r>
      <w:proofErr w:type="spellEnd"/>
      <w:r w:rsidRPr="00A94D34">
        <w:rPr>
          <w:rFonts w:ascii="Times New Roman" w:hAnsi="Times New Roman" w:cs="Times New Roman"/>
          <w:sz w:val="16"/>
          <w:szCs w:val="20"/>
          <w:lang w:val="en-US"/>
        </w:rPr>
        <w:t xml:space="preserve">, MPH; </w:t>
      </w:r>
      <w:proofErr w:type="spellStart"/>
      <w:r w:rsidRPr="00A94D34">
        <w:rPr>
          <w:rFonts w:ascii="Times New Roman" w:hAnsi="Times New Roman" w:cs="Times New Roman"/>
          <w:sz w:val="16"/>
          <w:szCs w:val="20"/>
          <w:lang w:val="en-US"/>
        </w:rPr>
        <w:t>Maribeth</w:t>
      </w:r>
      <w:proofErr w:type="spellEnd"/>
      <w:r w:rsidRPr="00A94D34">
        <w:rPr>
          <w:rFonts w:ascii="Times New Roman" w:hAnsi="Times New Roman" w:cs="Times New Roman"/>
          <w:sz w:val="16"/>
          <w:szCs w:val="20"/>
          <w:lang w:val="en-US"/>
        </w:rPr>
        <w:t xml:space="preserve"> C. </w:t>
      </w:r>
      <w:proofErr w:type="spellStart"/>
      <w:r w:rsidRPr="00A94D34">
        <w:rPr>
          <w:rFonts w:ascii="Times New Roman" w:hAnsi="Times New Roman" w:cs="Times New Roman"/>
          <w:sz w:val="16"/>
          <w:szCs w:val="20"/>
          <w:lang w:val="en-US"/>
        </w:rPr>
        <w:t>Lovegrove</w:t>
      </w:r>
      <w:proofErr w:type="spellEnd"/>
      <w:r w:rsidRPr="00A94D34">
        <w:rPr>
          <w:rFonts w:ascii="Times New Roman" w:hAnsi="Times New Roman" w:cs="Times New Roman"/>
          <w:sz w:val="16"/>
          <w:szCs w:val="20"/>
          <w:lang w:val="en-US"/>
        </w:rPr>
        <w:t xml:space="preserve">, MPH; Andrew I. Geller, MD; Kathleen O. Rose, BSN; Nina J. </w:t>
      </w:r>
      <w:proofErr w:type="spellStart"/>
      <w:r w:rsidRPr="00A94D34">
        <w:rPr>
          <w:rFonts w:ascii="Times New Roman" w:hAnsi="Times New Roman" w:cs="Times New Roman"/>
          <w:sz w:val="16"/>
          <w:szCs w:val="20"/>
          <w:lang w:val="en-US"/>
        </w:rPr>
        <w:t>Weidle</w:t>
      </w:r>
      <w:proofErr w:type="spellEnd"/>
      <w:r w:rsidRPr="00A94D34">
        <w:rPr>
          <w:rFonts w:ascii="Times New Roman" w:hAnsi="Times New Roman" w:cs="Times New Roman"/>
          <w:sz w:val="16"/>
          <w:szCs w:val="20"/>
          <w:lang w:val="en-US"/>
        </w:rPr>
        <w:t xml:space="preserve">, </w:t>
      </w:r>
      <w:proofErr w:type="spellStart"/>
      <w:r w:rsidRPr="00A94D34">
        <w:rPr>
          <w:rFonts w:ascii="Times New Roman" w:hAnsi="Times New Roman" w:cs="Times New Roman"/>
          <w:sz w:val="16"/>
          <w:szCs w:val="20"/>
          <w:lang w:val="en-US"/>
        </w:rPr>
        <w:t>PharmD</w:t>
      </w:r>
      <w:proofErr w:type="spellEnd"/>
      <w:r w:rsidRPr="00A94D34">
        <w:rPr>
          <w:rFonts w:ascii="Times New Roman" w:hAnsi="Times New Roman" w:cs="Times New Roman"/>
          <w:sz w:val="16"/>
          <w:szCs w:val="20"/>
          <w:lang w:val="en-US"/>
        </w:rPr>
        <w:t xml:space="preserve">; Daniel S. </w:t>
      </w:r>
      <w:proofErr w:type="spellStart"/>
      <w:r w:rsidRPr="00A94D34">
        <w:rPr>
          <w:rFonts w:ascii="Times New Roman" w:hAnsi="Times New Roman" w:cs="Times New Roman"/>
          <w:sz w:val="16"/>
          <w:szCs w:val="20"/>
          <w:lang w:val="en-US"/>
        </w:rPr>
        <w:t>Budnitz</w:t>
      </w:r>
      <w:proofErr w:type="spellEnd"/>
      <w:r w:rsidRPr="00A94D34">
        <w:rPr>
          <w:rFonts w:ascii="Times New Roman" w:hAnsi="Times New Roman" w:cs="Times New Roman"/>
          <w:sz w:val="16"/>
          <w:szCs w:val="20"/>
          <w:lang w:val="en-US"/>
        </w:rPr>
        <w:t xml:space="preserve">, MD, MPH US Emergency Department Visits for Outpatient Adverse Drug Events, 2013-2014. </w:t>
      </w:r>
      <w:proofErr w:type="gramStart"/>
      <w:r w:rsidRPr="00A94D34">
        <w:rPr>
          <w:rFonts w:ascii="Times New Roman" w:hAnsi="Times New Roman" w:cs="Times New Roman"/>
          <w:sz w:val="16"/>
          <w:szCs w:val="20"/>
          <w:lang w:val="en-US"/>
        </w:rPr>
        <w:t>JAMA.</w:t>
      </w:r>
      <w:proofErr w:type="gramEnd"/>
      <w:r w:rsidRPr="00A94D34">
        <w:rPr>
          <w:rFonts w:ascii="Times New Roman" w:hAnsi="Times New Roman" w:cs="Times New Roman"/>
          <w:sz w:val="16"/>
          <w:szCs w:val="20"/>
          <w:lang w:val="en-US"/>
        </w:rPr>
        <w:t xml:space="preserve"> 2016</w:t>
      </w:r>
      <w:proofErr w:type="gramStart"/>
      <w:r w:rsidRPr="00A94D34">
        <w:rPr>
          <w:rFonts w:ascii="Times New Roman" w:hAnsi="Times New Roman" w:cs="Times New Roman"/>
          <w:sz w:val="16"/>
          <w:szCs w:val="20"/>
          <w:lang w:val="en-US"/>
        </w:rPr>
        <w:t>;316</w:t>
      </w:r>
      <w:proofErr w:type="gramEnd"/>
      <w:r w:rsidRPr="00A94D34">
        <w:rPr>
          <w:rFonts w:ascii="Times New Roman" w:hAnsi="Times New Roman" w:cs="Times New Roman"/>
          <w:sz w:val="16"/>
          <w:szCs w:val="20"/>
          <w:lang w:val="en-US"/>
        </w:rPr>
        <w:t>(20):2115-2125. doi:10.1001/jama.2016.16201</w:t>
      </w:r>
    </w:p>
    <w:p w:rsidR="00A94D34" w:rsidRPr="00A94D34" w:rsidRDefault="00A94D34">
      <w:pPr>
        <w:rPr>
          <w:lang w:val="en-US"/>
        </w:rPr>
      </w:pPr>
    </w:p>
    <w:sectPr w:rsidR="00A94D34" w:rsidRPr="00A94D34" w:rsidSect="00EF496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7C3D12"/>
    <w:rsid w:val="0039099A"/>
    <w:rsid w:val="006F05B7"/>
    <w:rsid w:val="007C3D12"/>
    <w:rsid w:val="00956767"/>
    <w:rsid w:val="009A2EE5"/>
    <w:rsid w:val="00A94D34"/>
    <w:rsid w:val="00B94435"/>
    <w:rsid w:val="00D1533E"/>
    <w:rsid w:val="00EF49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496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56767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67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411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farma4_83</dc:creator>
  <cp:lastModifiedBy>farma4_83</cp:lastModifiedBy>
  <cp:revision>2</cp:revision>
  <dcterms:created xsi:type="dcterms:W3CDTF">2016-12-07T07:37:00Z</dcterms:created>
  <dcterms:modified xsi:type="dcterms:W3CDTF">2016-12-07T08:23:00Z</dcterms:modified>
</cp:coreProperties>
</file>